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CA5" w:rsidRPr="00184CA5" w:rsidRDefault="00184CA5" w:rsidP="00184CA5">
      <w:pPr>
        <w:spacing w:before="254" w:after="254" w:line="240" w:lineRule="auto"/>
        <w:ind w:left="254" w:right="254"/>
        <w:outlineLvl w:val="1"/>
        <w:rPr>
          <w:rFonts w:ascii="Verdana" w:eastAsia="Times New Roman" w:hAnsi="Verdana" w:cs="Times New Roman"/>
          <w:b/>
          <w:bCs/>
          <w:color w:val="C96318"/>
          <w:sz w:val="36"/>
          <w:szCs w:val="36"/>
        </w:rPr>
      </w:pPr>
      <w:r w:rsidRPr="00184CA5">
        <w:rPr>
          <w:rFonts w:ascii="Verdana" w:eastAsia="Times New Roman" w:hAnsi="Verdana" w:cs="Times New Roman"/>
          <w:b/>
          <w:bCs/>
          <w:color w:val="C96318"/>
          <w:sz w:val="27"/>
        </w:rPr>
        <w:t>Formative and Summative Assessment</w:t>
      </w:r>
      <w:r w:rsidRPr="00184CA5">
        <w:rPr>
          <w:rFonts w:ascii="Verdana" w:eastAsia="Times New Roman" w:hAnsi="Verdana" w:cs="Times New Roman"/>
          <w:b/>
          <w:bCs/>
          <w:color w:val="C96318"/>
          <w:sz w:val="36"/>
          <w:szCs w:val="36"/>
        </w:rPr>
        <w:t xml:space="preserve"> </w:t>
      </w:r>
    </w:p>
    <w:p w:rsidR="00184CA5" w:rsidRPr="00184CA5" w:rsidRDefault="00184CA5" w:rsidP="00184CA5">
      <w:pPr>
        <w:pBdr>
          <w:top w:val="single" w:sz="6" w:space="4" w:color="CCCCCC"/>
          <w:left w:val="single" w:sz="6" w:space="8" w:color="CCCCCC"/>
          <w:bottom w:val="single" w:sz="6" w:space="4" w:color="CCCCCC"/>
          <w:right w:val="single" w:sz="6" w:space="8" w:color="CCCCCC"/>
        </w:pBdr>
        <w:shd w:val="clear" w:color="auto" w:fill="F8F8F8"/>
        <w:spacing w:after="169" w:line="305" w:lineRule="atLeast"/>
        <w:rPr>
          <w:rFonts w:ascii="Verdana" w:eastAsia="Times New Roman" w:hAnsi="Verdana" w:cs="Times New Roman"/>
          <w:color w:val="000000"/>
          <w:sz w:val="20"/>
          <w:szCs w:val="20"/>
        </w:rPr>
      </w:pPr>
      <w:r w:rsidRPr="00184CA5">
        <w:rPr>
          <w:rFonts w:ascii="Verdana" w:eastAsia="Times New Roman" w:hAnsi="Verdana" w:cs="Times New Roman"/>
          <w:b/>
          <w:bCs/>
          <w:color w:val="000000"/>
          <w:sz w:val="20"/>
          <w:szCs w:val="20"/>
        </w:rPr>
        <w:t>Formative Assessment</w:t>
      </w:r>
    </w:p>
    <w:p w:rsidR="00184CA5" w:rsidRPr="00184CA5" w:rsidRDefault="00184CA5" w:rsidP="00184CA5">
      <w:pPr>
        <w:spacing w:before="254" w:after="254" w:line="305" w:lineRule="atLeast"/>
        <w:ind w:left="254" w:right="254"/>
        <w:rPr>
          <w:rFonts w:ascii="Verdana" w:eastAsia="Times New Roman" w:hAnsi="Verdana" w:cs="Times New Roman"/>
          <w:color w:val="000000"/>
          <w:sz w:val="20"/>
          <w:szCs w:val="20"/>
        </w:rPr>
      </w:pPr>
      <w:r w:rsidRPr="00184CA5">
        <w:rPr>
          <w:rFonts w:ascii="Verdana" w:eastAsia="Times New Roman" w:hAnsi="Verdana" w:cs="Times New Roman"/>
          <w:color w:val="000000"/>
          <w:sz w:val="20"/>
          <w:szCs w:val="20"/>
        </w:rPr>
        <w:t>Formative assessment is utilized to immediately determine whether students have learned what the instructor intended.  This type of assessment is intended to help instructors identify material which needs to be clarified or re-taught and should not be used to evaluate or grade students.  Results of formative assessment can assist instructors to ascertain whether curriculum or learning activities need to be modified during a class session or before the next class meets.</w:t>
      </w:r>
    </w:p>
    <w:p w:rsidR="00184CA5" w:rsidRPr="00184CA5" w:rsidRDefault="00184CA5" w:rsidP="00184CA5">
      <w:pPr>
        <w:pBdr>
          <w:top w:val="single" w:sz="6" w:space="4" w:color="CCCCCC"/>
          <w:left w:val="single" w:sz="6" w:space="8" w:color="CCCCCC"/>
          <w:bottom w:val="single" w:sz="6" w:space="4" w:color="CCCCCC"/>
          <w:right w:val="single" w:sz="6" w:space="8" w:color="CCCCCC"/>
        </w:pBdr>
        <w:shd w:val="clear" w:color="auto" w:fill="F8F8F8"/>
        <w:spacing w:after="169" w:line="305" w:lineRule="atLeast"/>
        <w:rPr>
          <w:rFonts w:ascii="Verdana" w:eastAsia="Times New Roman" w:hAnsi="Verdana" w:cs="Times New Roman"/>
          <w:color w:val="000000"/>
          <w:sz w:val="20"/>
          <w:szCs w:val="20"/>
        </w:rPr>
      </w:pPr>
      <w:r w:rsidRPr="00184CA5">
        <w:rPr>
          <w:rFonts w:ascii="Verdana" w:eastAsia="Times New Roman" w:hAnsi="Verdana" w:cs="Times New Roman"/>
          <w:b/>
          <w:bCs/>
          <w:color w:val="000000"/>
          <w:sz w:val="20"/>
          <w:szCs w:val="20"/>
        </w:rPr>
        <w:t>Summative Assessment</w:t>
      </w:r>
    </w:p>
    <w:p w:rsidR="00184CA5" w:rsidRPr="00184CA5" w:rsidRDefault="00184CA5" w:rsidP="00184CA5">
      <w:pPr>
        <w:spacing w:before="254" w:after="254" w:line="305" w:lineRule="atLeast"/>
        <w:ind w:left="254" w:right="254"/>
        <w:rPr>
          <w:rFonts w:ascii="Verdana" w:eastAsia="Times New Roman" w:hAnsi="Verdana" w:cs="Times New Roman"/>
          <w:color w:val="000000"/>
          <w:sz w:val="20"/>
          <w:szCs w:val="20"/>
        </w:rPr>
      </w:pPr>
      <w:r w:rsidRPr="00184CA5">
        <w:rPr>
          <w:rFonts w:ascii="Verdana" w:eastAsia="Times New Roman" w:hAnsi="Verdana" w:cs="Times New Roman"/>
          <w:color w:val="000000"/>
          <w:sz w:val="20"/>
          <w:szCs w:val="20"/>
        </w:rPr>
        <w:t>Summative assessment is cumulative in nature and is utilized to determine whether students have met the course goals or student learning outcomes at the end of a course or program.</w:t>
      </w:r>
    </w:p>
    <w:p w:rsidR="00553E5B" w:rsidRDefault="00184CA5">
      <w:r>
        <w:t>University of Texas</w:t>
      </w:r>
    </w:p>
    <w:p w:rsidR="00184CA5" w:rsidRDefault="00184CA5"/>
    <w:p w:rsidR="00184CA5" w:rsidRDefault="00184CA5" w:rsidP="00184CA5">
      <w:pPr>
        <w:pStyle w:val="Heading3"/>
        <w:shd w:val="clear" w:color="auto" w:fill="F8FCFF"/>
        <w:rPr>
          <w:lang/>
        </w:rPr>
      </w:pPr>
      <w:r>
        <w:rPr>
          <w:rStyle w:val="mw-headline"/>
          <w:lang/>
        </w:rPr>
        <w:t>Formative and summative</w:t>
      </w:r>
    </w:p>
    <w:p w:rsidR="00184CA5" w:rsidRPr="00184CA5" w:rsidRDefault="00184CA5" w:rsidP="00184CA5">
      <w:pPr>
        <w:pStyle w:val="NormalWeb"/>
        <w:shd w:val="clear" w:color="auto" w:fill="F8FCFF"/>
        <w:rPr>
          <w:rFonts w:asciiTheme="minorHAnsi" w:hAnsiTheme="minorHAnsi"/>
          <w:sz w:val="24"/>
          <w:szCs w:val="24"/>
          <w:lang/>
        </w:rPr>
      </w:pPr>
      <w:r w:rsidRPr="00184CA5">
        <w:rPr>
          <w:rFonts w:asciiTheme="minorHAnsi" w:hAnsiTheme="minorHAnsi"/>
          <w:sz w:val="24"/>
          <w:szCs w:val="24"/>
          <w:lang/>
        </w:rPr>
        <w:t>Assessment is often divided into formative and summative categories for the purpose of considering different objectives for assessment practices.</w:t>
      </w:r>
    </w:p>
    <w:p w:rsidR="00184CA5" w:rsidRPr="00184CA5" w:rsidRDefault="00184CA5" w:rsidP="00184CA5">
      <w:pPr>
        <w:numPr>
          <w:ilvl w:val="0"/>
          <w:numId w:val="1"/>
        </w:numPr>
        <w:shd w:val="clear" w:color="auto" w:fill="F8FCFF"/>
        <w:spacing w:before="100" w:beforeAutospacing="1" w:after="100" w:afterAutospacing="1" w:line="240" w:lineRule="auto"/>
        <w:rPr>
          <w:sz w:val="24"/>
          <w:szCs w:val="24"/>
          <w:lang/>
        </w:rPr>
      </w:pPr>
      <w:hyperlink r:id="rId5" w:tooltip="Summative assessment" w:history="1">
        <w:r w:rsidRPr="00184CA5">
          <w:rPr>
            <w:rStyle w:val="Hyperlink"/>
            <w:sz w:val="24"/>
            <w:szCs w:val="24"/>
            <w:lang/>
          </w:rPr>
          <w:t>Summative assessment</w:t>
        </w:r>
      </w:hyperlink>
      <w:r w:rsidRPr="00184CA5">
        <w:rPr>
          <w:sz w:val="24"/>
          <w:szCs w:val="24"/>
          <w:lang/>
        </w:rPr>
        <w:t xml:space="preserve"> - Summative assessment is generally carried out at the end of a course or project. In an educational setting, summative assessments are typically used to assign students a course grade. </w:t>
      </w:r>
    </w:p>
    <w:p w:rsidR="00184CA5" w:rsidRPr="00184CA5" w:rsidRDefault="00184CA5" w:rsidP="00184CA5">
      <w:pPr>
        <w:numPr>
          <w:ilvl w:val="0"/>
          <w:numId w:val="1"/>
        </w:numPr>
        <w:shd w:val="clear" w:color="auto" w:fill="F8FCFF"/>
        <w:spacing w:before="100" w:beforeAutospacing="1" w:after="100" w:afterAutospacing="1" w:line="240" w:lineRule="auto"/>
        <w:rPr>
          <w:sz w:val="24"/>
          <w:szCs w:val="24"/>
          <w:lang/>
        </w:rPr>
      </w:pPr>
      <w:hyperlink r:id="rId6" w:tooltip="Formative assessment" w:history="1">
        <w:r w:rsidRPr="00184CA5">
          <w:rPr>
            <w:rStyle w:val="Hyperlink"/>
            <w:sz w:val="24"/>
            <w:szCs w:val="24"/>
            <w:lang/>
          </w:rPr>
          <w:t>Formative assessment</w:t>
        </w:r>
      </w:hyperlink>
      <w:r w:rsidRPr="00184CA5">
        <w:rPr>
          <w:sz w:val="24"/>
          <w:szCs w:val="24"/>
          <w:lang/>
        </w:rPr>
        <w:t xml:space="preserve"> - Formative assessment is generally carried out throughout a course or project. Formative assessment, also referred to as "educative assessment," is used to aid learning. In an educational setting, formative assessment might be a teacher (or </w:t>
      </w:r>
      <w:hyperlink r:id="rId7" w:tooltip="Peer group" w:history="1">
        <w:r w:rsidRPr="00184CA5">
          <w:rPr>
            <w:rStyle w:val="Hyperlink"/>
            <w:sz w:val="24"/>
            <w:szCs w:val="24"/>
            <w:lang/>
          </w:rPr>
          <w:t>peer</w:t>
        </w:r>
      </w:hyperlink>
      <w:r w:rsidRPr="00184CA5">
        <w:rPr>
          <w:sz w:val="24"/>
          <w:szCs w:val="24"/>
          <w:lang/>
        </w:rPr>
        <w:t xml:space="preserve">) or the learner, providing feedback on a student's work, and would not necessarily be used for grading purposes. </w:t>
      </w:r>
    </w:p>
    <w:p w:rsidR="00184CA5" w:rsidRPr="00184CA5" w:rsidRDefault="00184CA5" w:rsidP="00184CA5">
      <w:pPr>
        <w:pStyle w:val="NormalWeb"/>
        <w:shd w:val="clear" w:color="auto" w:fill="F8FCFF"/>
        <w:rPr>
          <w:rFonts w:asciiTheme="minorHAnsi" w:hAnsiTheme="minorHAnsi"/>
          <w:sz w:val="24"/>
          <w:szCs w:val="24"/>
          <w:lang/>
        </w:rPr>
      </w:pPr>
      <w:r w:rsidRPr="00184CA5">
        <w:rPr>
          <w:rFonts w:asciiTheme="minorHAnsi" w:hAnsiTheme="minorHAnsi"/>
          <w:sz w:val="24"/>
          <w:szCs w:val="24"/>
          <w:lang/>
        </w:rPr>
        <w:t xml:space="preserve">Educational researcher </w:t>
      </w:r>
      <w:hyperlink r:id="rId8" w:history="1">
        <w:r w:rsidRPr="00184CA5">
          <w:rPr>
            <w:rStyle w:val="Hyperlink"/>
            <w:rFonts w:asciiTheme="minorHAnsi" w:hAnsiTheme="minorHAnsi"/>
            <w:sz w:val="24"/>
            <w:szCs w:val="24"/>
            <w:lang/>
          </w:rPr>
          <w:t>Robert Stake</w:t>
        </w:r>
      </w:hyperlink>
      <w:r w:rsidRPr="00184CA5">
        <w:rPr>
          <w:rFonts w:asciiTheme="minorHAnsi" w:hAnsiTheme="minorHAnsi"/>
          <w:sz w:val="24"/>
          <w:szCs w:val="24"/>
          <w:lang/>
        </w:rPr>
        <w:t xml:space="preserve"> explains the difference between formative and summative assessment with the following analogy:</w:t>
      </w:r>
    </w:p>
    <w:tbl>
      <w:tblPr>
        <w:tblW w:w="0" w:type="auto"/>
        <w:tblCellMar>
          <w:top w:w="15" w:type="dxa"/>
          <w:left w:w="15" w:type="dxa"/>
          <w:bottom w:w="15" w:type="dxa"/>
          <w:right w:w="15" w:type="dxa"/>
        </w:tblCellMar>
        <w:tblLook w:val="04A0"/>
      </w:tblPr>
      <w:tblGrid>
        <w:gridCol w:w="595"/>
        <w:gridCol w:w="8499"/>
        <w:gridCol w:w="604"/>
      </w:tblGrid>
      <w:tr w:rsidR="00184CA5" w:rsidRPr="00184CA5" w:rsidTr="00184CA5">
        <w:tc>
          <w:tcPr>
            <w:tcW w:w="595" w:type="dxa"/>
            <w:shd w:val="clear" w:color="auto" w:fill="auto"/>
            <w:tcMar>
              <w:top w:w="169" w:type="dxa"/>
              <w:left w:w="169" w:type="dxa"/>
              <w:bottom w:w="169" w:type="dxa"/>
              <w:right w:w="169" w:type="dxa"/>
            </w:tcMar>
            <w:hideMark/>
          </w:tcPr>
          <w:p w:rsidR="00184CA5" w:rsidRPr="00184CA5" w:rsidRDefault="00184CA5">
            <w:pPr>
              <w:spacing w:before="100" w:beforeAutospacing="1" w:after="100" w:afterAutospacing="1"/>
              <w:rPr>
                <w:b/>
                <w:bCs/>
                <w:color w:val="B2B7F2"/>
                <w:sz w:val="24"/>
                <w:szCs w:val="24"/>
              </w:rPr>
            </w:pPr>
            <w:r w:rsidRPr="00184CA5">
              <w:rPr>
                <w:b/>
                <w:bCs/>
                <w:color w:val="B2B7F2"/>
                <w:sz w:val="24"/>
                <w:szCs w:val="24"/>
              </w:rPr>
              <w:t>“</w:t>
            </w:r>
          </w:p>
        </w:tc>
        <w:tc>
          <w:tcPr>
            <w:tcW w:w="0" w:type="auto"/>
            <w:shd w:val="clear" w:color="auto" w:fill="auto"/>
            <w:tcMar>
              <w:top w:w="68" w:type="dxa"/>
              <w:left w:w="169" w:type="dxa"/>
              <w:bottom w:w="68" w:type="dxa"/>
              <w:right w:w="169" w:type="dxa"/>
            </w:tcMar>
            <w:hideMark/>
          </w:tcPr>
          <w:p w:rsidR="00184CA5" w:rsidRPr="00184CA5" w:rsidRDefault="00184CA5">
            <w:pPr>
              <w:spacing w:before="100" w:beforeAutospacing="1" w:after="100" w:afterAutospacing="1"/>
              <w:rPr>
                <w:sz w:val="24"/>
                <w:szCs w:val="24"/>
              </w:rPr>
            </w:pPr>
            <w:r w:rsidRPr="00184CA5">
              <w:rPr>
                <w:sz w:val="24"/>
                <w:szCs w:val="24"/>
              </w:rPr>
              <w:t>When the cook tastes the soup, that's formative. When the guests taste the soup, that's summative.</w:t>
            </w:r>
            <w:hyperlink r:id="rId9" w:anchor="cite_note-Stake_in_Scriven-3" w:history="1">
              <w:r w:rsidRPr="00184CA5">
                <w:rPr>
                  <w:color w:val="0000FF"/>
                  <w:sz w:val="24"/>
                  <w:szCs w:val="24"/>
                  <w:u w:val="single"/>
                  <w:vertAlign w:val="superscript"/>
                </w:rPr>
                <w:t>[4]</w:t>
              </w:r>
            </w:hyperlink>
          </w:p>
        </w:tc>
        <w:tc>
          <w:tcPr>
            <w:tcW w:w="604" w:type="dxa"/>
            <w:shd w:val="clear" w:color="auto" w:fill="auto"/>
            <w:tcMar>
              <w:top w:w="169" w:type="dxa"/>
              <w:left w:w="169" w:type="dxa"/>
              <w:bottom w:w="169" w:type="dxa"/>
              <w:right w:w="169" w:type="dxa"/>
            </w:tcMar>
            <w:vAlign w:val="bottom"/>
            <w:hideMark/>
          </w:tcPr>
          <w:p w:rsidR="00184CA5" w:rsidRPr="00184CA5" w:rsidRDefault="00184CA5">
            <w:pPr>
              <w:spacing w:before="100" w:beforeAutospacing="1" w:after="100" w:afterAutospacing="1"/>
              <w:jc w:val="right"/>
              <w:rPr>
                <w:b/>
                <w:bCs/>
                <w:color w:val="B2B7F2"/>
                <w:sz w:val="24"/>
                <w:szCs w:val="24"/>
              </w:rPr>
            </w:pPr>
            <w:r w:rsidRPr="00184CA5">
              <w:rPr>
                <w:b/>
                <w:bCs/>
                <w:color w:val="B2B7F2"/>
                <w:sz w:val="24"/>
                <w:szCs w:val="24"/>
              </w:rPr>
              <w:t>”</w:t>
            </w:r>
          </w:p>
        </w:tc>
      </w:tr>
    </w:tbl>
    <w:p w:rsidR="00184CA5" w:rsidRPr="00184CA5" w:rsidRDefault="00184CA5">
      <w:pPr>
        <w:rPr>
          <w:sz w:val="24"/>
          <w:szCs w:val="24"/>
          <w:lang/>
        </w:rPr>
      </w:pPr>
      <w:r w:rsidRPr="00184CA5">
        <w:rPr>
          <w:sz w:val="24"/>
          <w:szCs w:val="24"/>
          <w:lang/>
        </w:rPr>
        <w:lastRenderedPageBreak/>
        <w:t xml:space="preserve">Summative and formative assessment are often referred to in a learning context as </w:t>
      </w:r>
      <w:r w:rsidRPr="00184CA5">
        <w:rPr>
          <w:i/>
          <w:iCs/>
          <w:sz w:val="24"/>
          <w:szCs w:val="24"/>
          <w:lang/>
        </w:rPr>
        <w:t>assessment of learning</w:t>
      </w:r>
      <w:r w:rsidRPr="00184CA5">
        <w:rPr>
          <w:sz w:val="24"/>
          <w:szCs w:val="24"/>
          <w:lang/>
        </w:rPr>
        <w:t xml:space="preserve"> and </w:t>
      </w:r>
      <w:r w:rsidRPr="00184CA5">
        <w:rPr>
          <w:i/>
          <w:iCs/>
          <w:sz w:val="24"/>
          <w:szCs w:val="24"/>
          <w:lang/>
        </w:rPr>
        <w:t>assessment for learning</w:t>
      </w:r>
      <w:r w:rsidRPr="00184CA5">
        <w:rPr>
          <w:sz w:val="24"/>
          <w:szCs w:val="24"/>
          <w:lang/>
        </w:rPr>
        <w:t xml:space="preserve"> respectively</w:t>
      </w:r>
    </w:p>
    <w:p w:rsidR="00184CA5" w:rsidRDefault="00184CA5">
      <w:pPr>
        <w:rPr>
          <w:lang/>
        </w:rPr>
      </w:pPr>
    </w:p>
    <w:p w:rsidR="00184CA5" w:rsidRDefault="00184CA5">
      <w:pPr>
        <w:rPr>
          <w:lang/>
        </w:rPr>
      </w:pPr>
      <w:r>
        <w:rPr>
          <w:lang/>
        </w:rPr>
        <w:t>Wikipedia</w:t>
      </w:r>
    </w:p>
    <w:p w:rsidR="00184CA5" w:rsidRPr="00184CA5" w:rsidRDefault="00184CA5">
      <w:pPr>
        <w:rPr>
          <w:sz w:val="24"/>
          <w:szCs w:val="24"/>
          <w:lang/>
        </w:rPr>
      </w:pPr>
    </w:p>
    <w:p w:rsidR="00184CA5" w:rsidRPr="00184CA5" w:rsidRDefault="00184CA5" w:rsidP="00184CA5">
      <w:pPr>
        <w:rPr>
          <w:sz w:val="24"/>
          <w:szCs w:val="24"/>
        </w:rPr>
      </w:pPr>
      <w:r w:rsidRPr="00184CA5">
        <w:rPr>
          <w:sz w:val="24"/>
          <w:szCs w:val="24"/>
          <w:lang w:val="en-NZ"/>
        </w:rPr>
        <w:t>The word ‘assess’ comes from the Latin verb ‘</w:t>
      </w:r>
      <w:proofErr w:type="spellStart"/>
      <w:r w:rsidRPr="00184CA5">
        <w:rPr>
          <w:sz w:val="24"/>
          <w:szCs w:val="24"/>
          <w:lang w:val="en-NZ"/>
        </w:rPr>
        <w:t>assidere</w:t>
      </w:r>
      <w:proofErr w:type="spellEnd"/>
      <w:r w:rsidRPr="00184CA5">
        <w:rPr>
          <w:sz w:val="24"/>
          <w:szCs w:val="24"/>
          <w:lang w:val="en-NZ"/>
        </w:rPr>
        <w:t xml:space="preserve">’ meaning ‘to sit with’. </w:t>
      </w:r>
    </w:p>
    <w:p w:rsidR="00184CA5" w:rsidRPr="00184CA5" w:rsidRDefault="00184CA5" w:rsidP="00184CA5">
      <w:pPr>
        <w:rPr>
          <w:sz w:val="24"/>
          <w:szCs w:val="24"/>
        </w:rPr>
      </w:pPr>
      <w:r w:rsidRPr="00184CA5">
        <w:rPr>
          <w:sz w:val="24"/>
          <w:szCs w:val="24"/>
          <w:lang w:val="en-NZ"/>
        </w:rPr>
        <w:t>In assessment one is supposed to sit with the learner. This implies it is something we do ‘with’ and ‘for’ students and not ‘to’ students (Green, 1999).</w:t>
      </w:r>
      <w:r w:rsidRPr="00184CA5">
        <w:rPr>
          <w:sz w:val="24"/>
          <w:szCs w:val="24"/>
        </w:rPr>
        <w:t xml:space="preserve"> </w:t>
      </w:r>
    </w:p>
    <w:p w:rsidR="00000000" w:rsidRPr="00184CA5" w:rsidRDefault="00184CA5" w:rsidP="00184CA5">
      <w:pPr>
        <w:numPr>
          <w:ilvl w:val="0"/>
          <w:numId w:val="2"/>
        </w:numPr>
        <w:rPr>
          <w:sz w:val="24"/>
          <w:szCs w:val="24"/>
        </w:rPr>
      </w:pPr>
      <w:r w:rsidRPr="00184CA5">
        <w:rPr>
          <w:sz w:val="24"/>
          <w:szCs w:val="24"/>
        </w:rPr>
        <w:t xml:space="preserve">Formative and summative </w:t>
      </w:r>
      <w:proofErr w:type="gramStart"/>
      <w:r w:rsidRPr="00184CA5">
        <w:rPr>
          <w:sz w:val="24"/>
          <w:szCs w:val="24"/>
        </w:rPr>
        <w:t>assessment are</w:t>
      </w:r>
      <w:proofErr w:type="gramEnd"/>
      <w:r w:rsidRPr="00184CA5">
        <w:rPr>
          <w:sz w:val="24"/>
          <w:szCs w:val="24"/>
        </w:rPr>
        <w:t xml:space="preserve"> </w:t>
      </w:r>
      <w:r w:rsidRPr="00184CA5">
        <w:rPr>
          <w:i/>
          <w:iCs/>
          <w:sz w:val="24"/>
          <w:szCs w:val="24"/>
        </w:rPr>
        <w:t>interconnected</w:t>
      </w:r>
      <w:r w:rsidRPr="00184CA5">
        <w:rPr>
          <w:sz w:val="24"/>
          <w:szCs w:val="24"/>
        </w:rPr>
        <w:t>. They seldom stand alone in construction or eff</w:t>
      </w:r>
      <w:r w:rsidRPr="00184CA5">
        <w:rPr>
          <w:sz w:val="24"/>
          <w:szCs w:val="24"/>
        </w:rPr>
        <w:t xml:space="preserve">ect.  </w:t>
      </w:r>
    </w:p>
    <w:p w:rsidR="00000000" w:rsidRPr="00184CA5" w:rsidRDefault="00184CA5" w:rsidP="00184CA5">
      <w:pPr>
        <w:numPr>
          <w:ilvl w:val="0"/>
          <w:numId w:val="2"/>
        </w:numPr>
        <w:rPr>
          <w:sz w:val="24"/>
          <w:szCs w:val="24"/>
        </w:rPr>
      </w:pPr>
      <w:r w:rsidRPr="00184CA5">
        <w:rPr>
          <w:sz w:val="24"/>
          <w:szCs w:val="24"/>
        </w:rPr>
        <w:t>The vast majority of genuine formative assessment is informal, with interactive and timely feedback and response.</w:t>
      </w:r>
    </w:p>
    <w:p w:rsidR="00000000" w:rsidRPr="00184CA5" w:rsidRDefault="00184CA5" w:rsidP="00184CA5">
      <w:pPr>
        <w:numPr>
          <w:ilvl w:val="0"/>
          <w:numId w:val="2"/>
        </w:numPr>
        <w:rPr>
          <w:sz w:val="24"/>
          <w:szCs w:val="24"/>
        </w:rPr>
      </w:pPr>
      <w:r w:rsidRPr="00184CA5">
        <w:rPr>
          <w:sz w:val="24"/>
          <w:szCs w:val="24"/>
        </w:rPr>
        <w:t xml:space="preserve">It is widely and empirically argued that formative assessment has the </w:t>
      </w:r>
      <w:r w:rsidRPr="00184CA5">
        <w:rPr>
          <w:i/>
          <w:iCs/>
          <w:sz w:val="24"/>
          <w:szCs w:val="24"/>
        </w:rPr>
        <w:t>greatest impact</w:t>
      </w:r>
      <w:r w:rsidRPr="00184CA5">
        <w:rPr>
          <w:sz w:val="24"/>
          <w:szCs w:val="24"/>
        </w:rPr>
        <w:t xml:space="preserve"> on learning and achievement.</w:t>
      </w:r>
      <w:r w:rsidRPr="00184CA5">
        <w:rPr>
          <w:sz w:val="24"/>
          <w:szCs w:val="24"/>
          <w:lang w:val="en-AU"/>
        </w:rPr>
        <w:t xml:space="preserve"> </w:t>
      </w:r>
    </w:p>
    <w:p w:rsidR="00000000" w:rsidRPr="00184CA5" w:rsidRDefault="00184CA5" w:rsidP="00184CA5">
      <w:pPr>
        <w:rPr>
          <w:sz w:val="24"/>
          <w:szCs w:val="24"/>
        </w:rPr>
      </w:pPr>
      <w:r w:rsidRPr="00184CA5">
        <w:rPr>
          <w:sz w:val="24"/>
          <w:szCs w:val="24"/>
        </w:rPr>
        <w:t xml:space="preserve">Summative </w:t>
      </w:r>
      <w:r w:rsidRPr="00184CA5">
        <w:rPr>
          <w:sz w:val="24"/>
          <w:szCs w:val="24"/>
        </w:rPr>
        <w:t xml:space="preserve">Assessment </w:t>
      </w:r>
      <w:r w:rsidRPr="00184CA5">
        <w:rPr>
          <w:b/>
          <w:bCs/>
          <w:i/>
          <w:iCs/>
          <w:sz w:val="24"/>
          <w:szCs w:val="24"/>
        </w:rPr>
        <w:t>of</w:t>
      </w:r>
      <w:r w:rsidRPr="00184CA5">
        <w:rPr>
          <w:b/>
          <w:bCs/>
          <w:sz w:val="24"/>
          <w:szCs w:val="24"/>
        </w:rPr>
        <w:t xml:space="preserve"> </w:t>
      </w:r>
      <w:r w:rsidRPr="00184CA5">
        <w:rPr>
          <w:sz w:val="24"/>
          <w:szCs w:val="24"/>
        </w:rPr>
        <w:t>learning</w:t>
      </w:r>
    </w:p>
    <w:p w:rsidR="00000000" w:rsidRPr="00184CA5" w:rsidRDefault="00184CA5" w:rsidP="00184CA5">
      <w:pPr>
        <w:numPr>
          <w:ilvl w:val="0"/>
          <w:numId w:val="2"/>
        </w:numPr>
        <w:rPr>
          <w:sz w:val="24"/>
          <w:szCs w:val="24"/>
        </w:rPr>
      </w:pPr>
      <w:r w:rsidRPr="00184CA5">
        <w:rPr>
          <w:sz w:val="24"/>
          <w:szCs w:val="24"/>
        </w:rPr>
        <w:t xml:space="preserve">Generally taken by students at the end of a unit or semester to demonstrate the "sum" of what they have or have not learned. </w:t>
      </w:r>
    </w:p>
    <w:p w:rsidR="00000000" w:rsidRPr="00184CA5" w:rsidRDefault="00184CA5" w:rsidP="00184CA5">
      <w:pPr>
        <w:numPr>
          <w:ilvl w:val="0"/>
          <w:numId w:val="2"/>
        </w:numPr>
        <w:rPr>
          <w:sz w:val="24"/>
          <w:szCs w:val="24"/>
        </w:rPr>
      </w:pPr>
      <w:r w:rsidRPr="00184CA5">
        <w:rPr>
          <w:sz w:val="24"/>
          <w:szCs w:val="24"/>
        </w:rPr>
        <w:t xml:space="preserve">Summative assessment methods are the most traditional way of evaluating student work. </w:t>
      </w:r>
    </w:p>
    <w:p w:rsidR="00000000" w:rsidRPr="00184CA5" w:rsidRDefault="00184CA5" w:rsidP="00184CA5">
      <w:pPr>
        <w:numPr>
          <w:ilvl w:val="0"/>
          <w:numId w:val="2"/>
        </w:numPr>
        <w:rPr>
          <w:sz w:val="24"/>
          <w:szCs w:val="24"/>
        </w:rPr>
      </w:pPr>
      <w:r w:rsidRPr="00184CA5">
        <w:rPr>
          <w:sz w:val="24"/>
          <w:szCs w:val="24"/>
        </w:rPr>
        <w:t>"Good summative assessments--te</w:t>
      </w:r>
      <w:r w:rsidRPr="00184CA5">
        <w:rPr>
          <w:sz w:val="24"/>
          <w:szCs w:val="24"/>
        </w:rPr>
        <w:t xml:space="preserve">sts and other graded evaluations--must be demonstrably </w:t>
      </w:r>
      <w:r w:rsidRPr="00184CA5">
        <w:rPr>
          <w:b/>
          <w:bCs/>
          <w:sz w:val="24"/>
          <w:szCs w:val="24"/>
        </w:rPr>
        <w:t>reliable</w:t>
      </w:r>
      <w:r w:rsidRPr="00184CA5">
        <w:rPr>
          <w:sz w:val="24"/>
          <w:szCs w:val="24"/>
        </w:rPr>
        <w:t xml:space="preserve">, </w:t>
      </w:r>
      <w:r w:rsidRPr="00184CA5">
        <w:rPr>
          <w:b/>
          <w:bCs/>
          <w:sz w:val="24"/>
          <w:szCs w:val="24"/>
        </w:rPr>
        <w:t>valid</w:t>
      </w:r>
      <w:r w:rsidRPr="00184CA5">
        <w:rPr>
          <w:sz w:val="24"/>
          <w:szCs w:val="24"/>
        </w:rPr>
        <w:t xml:space="preserve">, and </w:t>
      </w:r>
      <w:r w:rsidRPr="00184CA5">
        <w:rPr>
          <w:b/>
          <w:bCs/>
          <w:sz w:val="24"/>
          <w:szCs w:val="24"/>
        </w:rPr>
        <w:t>free of bias</w:t>
      </w:r>
      <w:r w:rsidRPr="00184CA5">
        <w:rPr>
          <w:sz w:val="24"/>
          <w:szCs w:val="24"/>
        </w:rPr>
        <w:t>" (Angelo and Cross, 1993).</w:t>
      </w:r>
    </w:p>
    <w:p w:rsidR="00184CA5" w:rsidRPr="00184CA5" w:rsidRDefault="00184CA5">
      <w:r>
        <w:rPr>
          <w:sz w:val="24"/>
          <w:szCs w:val="24"/>
        </w:rPr>
        <w:t xml:space="preserve"> </w:t>
      </w:r>
    </w:p>
    <w:p w:rsidR="00184CA5" w:rsidRPr="00184CA5" w:rsidRDefault="00184CA5">
      <w:r w:rsidRPr="00184CA5">
        <w:t xml:space="preserve">New Hampshire </w:t>
      </w:r>
      <w:proofErr w:type="spellStart"/>
      <w:proofErr w:type="gramStart"/>
      <w:r w:rsidRPr="00184CA5">
        <w:t>powerpoint</w:t>
      </w:r>
      <w:proofErr w:type="spellEnd"/>
      <w:proofErr w:type="gramEnd"/>
    </w:p>
    <w:sectPr w:rsidR="00184CA5" w:rsidRPr="00184CA5" w:rsidSect="00553E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70996"/>
    <w:multiLevelType w:val="multilevel"/>
    <w:tmpl w:val="D1809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BD2DB4"/>
    <w:multiLevelType w:val="hybridMultilevel"/>
    <w:tmpl w:val="14D47004"/>
    <w:lvl w:ilvl="0" w:tplc="E3B4180C">
      <w:start w:val="1"/>
      <w:numFmt w:val="bullet"/>
      <w:lvlText w:val=""/>
      <w:lvlJc w:val="left"/>
      <w:pPr>
        <w:tabs>
          <w:tab w:val="num" w:pos="720"/>
        </w:tabs>
        <w:ind w:left="720" w:hanging="360"/>
      </w:pPr>
      <w:rPr>
        <w:rFonts w:ascii="Wingdings" w:hAnsi="Wingdings" w:hint="default"/>
      </w:rPr>
    </w:lvl>
    <w:lvl w:ilvl="1" w:tplc="F5DCB9DA" w:tentative="1">
      <w:start w:val="1"/>
      <w:numFmt w:val="bullet"/>
      <w:lvlText w:val=""/>
      <w:lvlJc w:val="left"/>
      <w:pPr>
        <w:tabs>
          <w:tab w:val="num" w:pos="1440"/>
        </w:tabs>
        <w:ind w:left="1440" w:hanging="360"/>
      </w:pPr>
      <w:rPr>
        <w:rFonts w:ascii="Wingdings" w:hAnsi="Wingdings" w:hint="default"/>
      </w:rPr>
    </w:lvl>
    <w:lvl w:ilvl="2" w:tplc="4FA27D92" w:tentative="1">
      <w:start w:val="1"/>
      <w:numFmt w:val="bullet"/>
      <w:lvlText w:val=""/>
      <w:lvlJc w:val="left"/>
      <w:pPr>
        <w:tabs>
          <w:tab w:val="num" w:pos="2160"/>
        </w:tabs>
        <w:ind w:left="2160" w:hanging="360"/>
      </w:pPr>
      <w:rPr>
        <w:rFonts w:ascii="Wingdings" w:hAnsi="Wingdings" w:hint="default"/>
      </w:rPr>
    </w:lvl>
    <w:lvl w:ilvl="3" w:tplc="E2E067FA" w:tentative="1">
      <w:start w:val="1"/>
      <w:numFmt w:val="bullet"/>
      <w:lvlText w:val=""/>
      <w:lvlJc w:val="left"/>
      <w:pPr>
        <w:tabs>
          <w:tab w:val="num" w:pos="2880"/>
        </w:tabs>
        <w:ind w:left="2880" w:hanging="360"/>
      </w:pPr>
      <w:rPr>
        <w:rFonts w:ascii="Wingdings" w:hAnsi="Wingdings" w:hint="default"/>
      </w:rPr>
    </w:lvl>
    <w:lvl w:ilvl="4" w:tplc="4E44E574" w:tentative="1">
      <w:start w:val="1"/>
      <w:numFmt w:val="bullet"/>
      <w:lvlText w:val=""/>
      <w:lvlJc w:val="left"/>
      <w:pPr>
        <w:tabs>
          <w:tab w:val="num" w:pos="3600"/>
        </w:tabs>
        <w:ind w:left="3600" w:hanging="360"/>
      </w:pPr>
      <w:rPr>
        <w:rFonts w:ascii="Wingdings" w:hAnsi="Wingdings" w:hint="default"/>
      </w:rPr>
    </w:lvl>
    <w:lvl w:ilvl="5" w:tplc="49BC33A2" w:tentative="1">
      <w:start w:val="1"/>
      <w:numFmt w:val="bullet"/>
      <w:lvlText w:val=""/>
      <w:lvlJc w:val="left"/>
      <w:pPr>
        <w:tabs>
          <w:tab w:val="num" w:pos="4320"/>
        </w:tabs>
        <w:ind w:left="4320" w:hanging="360"/>
      </w:pPr>
      <w:rPr>
        <w:rFonts w:ascii="Wingdings" w:hAnsi="Wingdings" w:hint="default"/>
      </w:rPr>
    </w:lvl>
    <w:lvl w:ilvl="6" w:tplc="138C2B1E" w:tentative="1">
      <w:start w:val="1"/>
      <w:numFmt w:val="bullet"/>
      <w:lvlText w:val=""/>
      <w:lvlJc w:val="left"/>
      <w:pPr>
        <w:tabs>
          <w:tab w:val="num" w:pos="5040"/>
        </w:tabs>
        <w:ind w:left="5040" w:hanging="360"/>
      </w:pPr>
      <w:rPr>
        <w:rFonts w:ascii="Wingdings" w:hAnsi="Wingdings" w:hint="default"/>
      </w:rPr>
    </w:lvl>
    <w:lvl w:ilvl="7" w:tplc="9E6E5546" w:tentative="1">
      <w:start w:val="1"/>
      <w:numFmt w:val="bullet"/>
      <w:lvlText w:val=""/>
      <w:lvlJc w:val="left"/>
      <w:pPr>
        <w:tabs>
          <w:tab w:val="num" w:pos="5760"/>
        </w:tabs>
        <w:ind w:left="5760" w:hanging="360"/>
      </w:pPr>
      <w:rPr>
        <w:rFonts w:ascii="Wingdings" w:hAnsi="Wingdings" w:hint="default"/>
      </w:rPr>
    </w:lvl>
    <w:lvl w:ilvl="8" w:tplc="F884AAE6" w:tentative="1">
      <w:start w:val="1"/>
      <w:numFmt w:val="bullet"/>
      <w:lvlText w:val=""/>
      <w:lvlJc w:val="left"/>
      <w:pPr>
        <w:tabs>
          <w:tab w:val="num" w:pos="6480"/>
        </w:tabs>
        <w:ind w:left="6480" w:hanging="360"/>
      </w:pPr>
      <w:rPr>
        <w:rFonts w:ascii="Wingdings" w:hAnsi="Wingdings" w:hint="default"/>
      </w:rPr>
    </w:lvl>
  </w:abstractNum>
  <w:abstractNum w:abstractNumId="2">
    <w:nsid w:val="17DE4818"/>
    <w:multiLevelType w:val="hybridMultilevel"/>
    <w:tmpl w:val="2C1C9840"/>
    <w:lvl w:ilvl="0" w:tplc="5B146BAE">
      <w:start w:val="1"/>
      <w:numFmt w:val="bullet"/>
      <w:lvlText w:val=""/>
      <w:lvlJc w:val="left"/>
      <w:pPr>
        <w:tabs>
          <w:tab w:val="num" w:pos="720"/>
        </w:tabs>
        <w:ind w:left="720" w:hanging="360"/>
      </w:pPr>
      <w:rPr>
        <w:rFonts w:ascii="Wingdings" w:hAnsi="Wingdings" w:hint="default"/>
      </w:rPr>
    </w:lvl>
    <w:lvl w:ilvl="1" w:tplc="9252BB58" w:tentative="1">
      <w:start w:val="1"/>
      <w:numFmt w:val="bullet"/>
      <w:lvlText w:val=""/>
      <w:lvlJc w:val="left"/>
      <w:pPr>
        <w:tabs>
          <w:tab w:val="num" w:pos="1440"/>
        </w:tabs>
        <w:ind w:left="1440" w:hanging="360"/>
      </w:pPr>
      <w:rPr>
        <w:rFonts w:ascii="Wingdings" w:hAnsi="Wingdings" w:hint="default"/>
      </w:rPr>
    </w:lvl>
    <w:lvl w:ilvl="2" w:tplc="B2A6269E" w:tentative="1">
      <w:start w:val="1"/>
      <w:numFmt w:val="bullet"/>
      <w:lvlText w:val=""/>
      <w:lvlJc w:val="left"/>
      <w:pPr>
        <w:tabs>
          <w:tab w:val="num" w:pos="2160"/>
        </w:tabs>
        <w:ind w:left="2160" w:hanging="360"/>
      </w:pPr>
      <w:rPr>
        <w:rFonts w:ascii="Wingdings" w:hAnsi="Wingdings" w:hint="default"/>
      </w:rPr>
    </w:lvl>
    <w:lvl w:ilvl="3" w:tplc="F210D96E" w:tentative="1">
      <w:start w:val="1"/>
      <w:numFmt w:val="bullet"/>
      <w:lvlText w:val=""/>
      <w:lvlJc w:val="left"/>
      <w:pPr>
        <w:tabs>
          <w:tab w:val="num" w:pos="2880"/>
        </w:tabs>
        <w:ind w:left="2880" w:hanging="360"/>
      </w:pPr>
      <w:rPr>
        <w:rFonts w:ascii="Wingdings" w:hAnsi="Wingdings" w:hint="default"/>
      </w:rPr>
    </w:lvl>
    <w:lvl w:ilvl="4" w:tplc="EF4CCCD6" w:tentative="1">
      <w:start w:val="1"/>
      <w:numFmt w:val="bullet"/>
      <w:lvlText w:val=""/>
      <w:lvlJc w:val="left"/>
      <w:pPr>
        <w:tabs>
          <w:tab w:val="num" w:pos="3600"/>
        </w:tabs>
        <w:ind w:left="3600" w:hanging="360"/>
      </w:pPr>
      <w:rPr>
        <w:rFonts w:ascii="Wingdings" w:hAnsi="Wingdings" w:hint="default"/>
      </w:rPr>
    </w:lvl>
    <w:lvl w:ilvl="5" w:tplc="C186D010" w:tentative="1">
      <w:start w:val="1"/>
      <w:numFmt w:val="bullet"/>
      <w:lvlText w:val=""/>
      <w:lvlJc w:val="left"/>
      <w:pPr>
        <w:tabs>
          <w:tab w:val="num" w:pos="4320"/>
        </w:tabs>
        <w:ind w:left="4320" w:hanging="360"/>
      </w:pPr>
      <w:rPr>
        <w:rFonts w:ascii="Wingdings" w:hAnsi="Wingdings" w:hint="default"/>
      </w:rPr>
    </w:lvl>
    <w:lvl w:ilvl="6" w:tplc="6DAAA2DC" w:tentative="1">
      <w:start w:val="1"/>
      <w:numFmt w:val="bullet"/>
      <w:lvlText w:val=""/>
      <w:lvlJc w:val="left"/>
      <w:pPr>
        <w:tabs>
          <w:tab w:val="num" w:pos="5040"/>
        </w:tabs>
        <w:ind w:left="5040" w:hanging="360"/>
      </w:pPr>
      <w:rPr>
        <w:rFonts w:ascii="Wingdings" w:hAnsi="Wingdings" w:hint="default"/>
      </w:rPr>
    </w:lvl>
    <w:lvl w:ilvl="7" w:tplc="707A8856" w:tentative="1">
      <w:start w:val="1"/>
      <w:numFmt w:val="bullet"/>
      <w:lvlText w:val=""/>
      <w:lvlJc w:val="left"/>
      <w:pPr>
        <w:tabs>
          <w:tab w:val="num" w:pos="5760"/>
        </w:tabs>
        <w:ind w:left="5760" w:hanging="360"/>
      </w:pPr>
      <w:rPr>
        <w:rFonts w:ascii="Wingdings" w:hAnsi="Wingdings" w:hint="default"/>
      </w:rPr>
    </w:lvl>
    <w:lvl w:ilvl="8" w:tplc="AA367664"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184CA5"/>
    <w:rsid w:val="00184CA5"/>
    <w:rsid w:val="00553E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E5B"/>
  </w:style>
  <w:style w:type="paragraph" w:styleId="Heading2">
    <w:name w:val="heading 2"/>
    <w:basedOn w:val="Normal"/>
    <w:link w:val="Heading2Char"/>
    <w:uiPriority w:val="9"/>
    <w:qFormat/>
    <w:rsid w:val="00184CA5"/>
    <w:pPr>
      <w:spacing w:before="254" w:after="254" w:line="240" w:lineRule="auto"/>
      <w:ind w:left="254" w:right="254"/>
      <w:outlineLvl w:val="1"/>
    </w:pPr>
    <w:rPr>
      <w:rFonts w:ascii="Verdana" w:eastAsia="Times New Roman" w:hAnsi="Verdana" w:cs="Times New Roman"/>
      <w:b/>
      <w:bCs/>
      <w:color w:val="C96318"/>
      <w:sz w:val="36"/>
      <w:szCs w:val="36"/>
    </w:rPr>
  </w:style>
  <w:style w:type="paragraph" w:styleId="Heading3">
    <w:name w:val="heading 3"/>
    <w:basedOn w:val="Normal"/>
    <w:next w:val="Normal"/>
    <w:link w:val="Heading3Char"/>
    <w:uiPriority w:val="9"/>
    <w:semiHidden/>
    <w:unhideWhenUsed/>
    <w:qFormat/>
    <w:rsid w:val="00184CA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84CA5"/>
    <w:rPr>
      <w:rFonts w:ascii="Verdana" w:eastAsia="Times New Roman" w:hAnsi="Verdana" w:cs="Times New Roman"/>
      <w:b/>
      <w:bCs/>
      <w:color w:val="C96318"/>
      <w:sz w:val="36"/>
      <w:szCs w:val="36"/>
    </w:rPr>
  </w:style>
  <w:style w:type="paragraph" w:styleId="NormalWeb">
    <w:name w:val="Normal (Web)"/>
    <w:basedOn w:val="Normal"/>
    <w:uiPriority w:val="99"/>
    <w:semiHidden/>
    <w:unhideWhenUsed/>
    <w:rsid w:val="00184CA5"/>
    <w:pPr>
      <w:spacing w:before="254" w:after="254" w:line="305" w:lineRule="atLeast"/>
      <w:ind w:left="254" w:right="254"/>
    </w:pPr>
    <w:rPr>
      <w:rFonts w:ascii="Times New Roman" w:eastAsia="Times New Roman" w:hAnsi="Times New Roman" w:cs="Times New Roman"/>
      <w:sz w:val="20"/>
      <w:szCs w:val="20"/>
    </w:rPr>
  </w:style>
  <w:style w:type="paragraph" w:customStyle="1" w:styleId="post">
    <w:name w:val="post"/>
    <w:basedOn w:val="Normal"/>
    <w:rsid w:val="00184CA5"/>
    <w:pPr>
      <w:pBdr>
        <w:top w:val="single" w:sz="6" w:space="4" w:color="CCCCCC"/>
        <w:left w:val="single" w:sz="6" w:space="8" w:color="CCCCCC"/>
        <w:bottom w:val="single" w:sz="6" w:space="4" w:color="CCCCCC"/>
        <w:right w:val="single" w:sz="6" w:space="8" w:color="CCCCCC"/>
      </w:pBdr>
      <w:shd w:val="clear" w:color="auto" w:fill="F8F8F8"/>
      <w:spacing w:after="169" w:line="305" w:lineRule="atLeast"/>
    </w:pPr>
    <w:rPr>
      <w:rFonts w:ascii="Times New Roman" w:eastAsia="Times New Roman" w:hAnsi="Times New Roman" w:cs="Times New Roman"/>
      <w:sz w:val="20"/>
      <w:szCs w:val="20"/>
    </w:rPr>
  </w:style>
  <w:style w:type="character" w:customStyle="1" w:styleId="style231">
    <w:name w:val="style231"/>
    <w:basedOn w:val="DefaultParagraphFont"/>
    <w:rsid w:val="00184CA5"/>
    <w:rPr>
      <w:b/>
      <w:bCs/>
      <w:sz w:val="27"/>
      <w:szCs w:val="27"/>
    </w:rPr>
  </w:style>
  <w:style w:type="character" w:styleId="Strong">
    <w:name w:val="Strong"/>
    <w:basedOn w:val="DefaultParagraphFont"/>
    <w:uiPriority w:val="22"/>
    <w:qFormat/>
    <w:rsid w:val="00184CA5"/>
    <w:rPr>
      <w:b/>
      <w:bCs/>
    </w:rPr>
  </w:style>
  <w:style w:type="character" w:customStyle="1" w:styleId="Heading3Char">
    <w:name w:val="Heading 3 Char"/>
    <w:basedOn w:val="DefaultParagraphFont"/>
    <w:link w:val="Heading3"/>
    <w:uiPriority w:val="9"/>
    <w:semiHidden/>
    <w:rsid w:val="00184CA5"/>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184CA5"/>
    <w:rPr>
      <w:color w:val="0000FF"/>
      <w:u w:val="single"/>
    </w:rPr>
  </w:style>
  <w:style w:type="character" w:customStyle="1" w:styleId="mw-headline">
    <w:name w:val="mw-headline"/>
    <w:basedOn w:val="DefaultParagraphFont"/>
    <w:rsid w:val="00184CA5"/>
  </w:style>
</w:styles>
</file>

<file path=word/webSettings.xml><?xml version="1.0" encoding="utf-8"?>
<w:webSettings xmlns:r="http://schemas.openxmlformats.org/officeDocument/2006/relationships" xmlns:w="http://schemas.openxmlformats.org/wordprocessingml/2006/main">
  <w:divs>
    <w:div w:id="562105042">
      <w:bodyDiv w:val="1"/>
      <w:marLeft w:val="0"/>
      <w:marRight w:val="0"/>
      <w:marTop w:val="0"/>
      <w:marBottom w:val="0"/>
      <w:divBdr>
        <w:top w:val="none" w:sz="0" w:space="0" w:color="auto"/>
        <w:left w:val="none" w:sz="0" w:space="0" w:color="auto"/>
        <w:bottom w:val="none" w:sz="0" w:space="0" w:color="auto"/>
        <w:right w:val="none" w:sz="0" w:space="0" w:color="auto"/>
      </w:divBdr>
      <w:divsChild>
        <w:div w:id="698746092">
          <w:marLeft w:val="0"/>
          <w:marRight w:val="0"/>
          <w:marTop w:val="134"/>
          <w:marBottom w:val="336"/>
          <w:divBdr>
            <w:top w:val="none" w:sz="0" w:space="0" w:color="auto"/>
            <w:left w:val="none" w:sz="0" w:space="0" w:color="auto"/>
            <w:bottom w:val="none" w:sz="0" w:space="0" w:color="auto"/>
            <w:right w:val="none" w:sz="0" w:space="0" w:color="auto"/>
          </w:divBdr>
        </w:div>
        <w:div w:id="1293436060">
          <w:marLeft w:val="0"/>
          <w:marRight w:val="0"/>
          <w:marTop w:val="134"/>
          <w:marBottom w:val="336"/>
          <w:divBdr>
            <w:top w:val="none" w:sz="0" w:space="0" w:color="auto"/>
            <w:left w:val="none" w:sz="0" w:space="0" w:color="auto"/>
            <w:bottom w:val="none" w:sz="0" w:space="0" w:color="auto"/>
            <w:right w:val="none" w:sz="0" w:space="0" w:color="auto"/>
          </w:divBdr>
        </w:div>
        <w:div w:id="987437799">
          <w:marLeft w:val="0"/>
          <w:marRight w:val="0"/>
          <w:marTop w:val="134"/>
          <w:marBottom w:val="336"/>
          <w:divBdr>
            <w:top w:val="none" w:sz="0" w:space="0" w:color="auto"/>
            <w:left w:val="none" w:sz="0" w:space="0" w:color="auto"/>
            <w:bottom w:val="none" w:sz="0" w:space="0" w:color="auto"/>
            <w:right w:val="none" w:sz="0" w:space="0" w:color="auto"/>
          </w:divBdr>
        </w:div>
      </w:divsChild>
    </w:div>
    <w:div w:id="762651561">
      <w:bodyDiv w:val="1"/>
      <w:marLeft w:val="0"/>
      <w:marRight w:val="0"/>
      <w:marTop w:val="0"/>
      <w:marBottom w:val="0"/>
      <w:divBdr>
        <w:top w:val="none" w:sz="0" w:space="0" w:color="auto"/>
        <w:left w:val="none" w:sz="0" w:space="0" w:color="auto"/>
        <w:bottom w:val="none" w:sz="0" w:space="0" w:color="auto"/>
        <w:right w:val="none" w:sz="0" w:space="0" w:color="auto"/>
      </w:divBdr>
      <w:divsChild>
        <w:div w:id="1806311092">
          <w:marLeft w:val="547"/>
          <w:marRight w:val="0"/>
          <w:marTop w:val="134"/>
          <w:marBottom w:val="0"/>
          <w:divBdr>
            <w:top w:val="none" w:sz="0" w:space="0" w:color="auto"/>
            <w:left w:val="none" w:sz="0" w:space="0" w:color="auto"/>
            <w:bottom w:val="none" w:sz="0" w:space="0" w:color="auto"/>
            <w:right w:val="none" w:sz="0" w:space="0" w:color="auto"/>
          </w:divBdr>
        </w:div>
        <w:div w:id="1877310212">
          <w:marLeft w:val="547"/>
          <w:marRight w:val="0"/>
          <w:marTop w:val="134"/>
          <w:marBottom w:val="0"/>
          <w:divBdr>
            <w:top w:val="none" w:sz="0" w:space="0" w:color="auto"/>
            <w:left w:val="none" w:sz="0" w:space="0" w:color="auto"/>
            <w:bottom w:val="none" w:sz="0" w:space="0" w:color="auto"/>
            <w:right w:val="none" w:sz="0" w:space="0" w:color="auto"/>
          </w:divBdr>
        </w:div>
        <w:div w:id="2062514064">
          <w:marLeft w:val="547"/>
          <w:marRight w:val="0"/>
          <w:marTop w:val="134"/>
          <w:marBottom w:val="0"/>
          <w:divBdr>
            <w:top w:val="none" w:sz="0" w:space="0" w:color="auto"/>
            <w:left w:val="none" w:sz="0" w:space="0" w:color="auto"/>
            <w:bottom w:val="none" w:sz="0" w:space="0" w:color="auto"/>
            <w:right w:val="none" w:sz="0" w:space="0" w:color="auto"/>
          </w:divBdr>
        </w:div>
        <w:div w:id="2104764807">
          <w:marLeft w:val="547"/>
          <w:marRight w:val="0"/>
          <w:marTop w:val="134"/>
          <w:marBottom w:val="0"/>
          <w:divBdr>
            <w:top w:val="none" w:sz="0" w:space="0" w:color="auto"/>
            <w:left w:val="none" w:sz="0" w:space="0" w:color="auto"/>
            <w:bottom w:val="none" w:sz="0" w:space="0" w:color="auto"/>
            <w:right w:val="none" w:sz="0" w:space="0" w:color="auto"/>
          </w:divBdr>
        </w:div>
      </w:divsChild>
    </w:div>
    <w:div w:id="1180778509">
      <w:bodyDiv w:val="1"/>
      <w:marLeft w:val="0"/>
      <w:marRight w:val="0"/>
      <w:marTop w:val="0"/>
      <w:marBottom w:val="0"/>
      <w:divBdr>
        <w:top w:val="none" w:sz="0" w:space="0" w:color="auto"/>
        <w:left w:val="none" w:sz="0" w:space="0" w:color="auto"/>
        <w:bottom w:val="none" w:sz="0" w:space="0" w:color="auto"/>
        <w:right w:val="none" w:sz="0" w:space="0" w:color="auto"/>
      </w:divBdr>
      <w:divsChild>
        <w:div w:id="283929863">
          <w:marLeft w:val="0"/>
          <w:marRight w:val="0"/>
          <w:marTop w:val="0"/>
          <w:marBottom w:val="0"/>
          <w:divBdr>
            <w:top w:val="none" w:sz="0" w:space="0" w:color="auto"/>
            <w:left w:val="none" w:sz="0" w:space="0" w:color="auto"/>
            <w:bottom w:val="none" w:sz="0" w:space="0" w:color="auto"/>
            <w:right w:val="none" w:sz="0" w:space="0" w:color="auto"/>
          </w:divBdr>
          <w:divsChild>
            <w:div w:id="2050496190">
              <w:marLeft w:val="0"/>
              <w:marRight w:val="0"/>
              <w:marTop w:val="0"/>
              <w:marBottom w:val="0"/>
              <w:divBdr>
                <w:top w:val="none" w:sz="0" w:space="0" w:color="auto"/>
                <w:left w:val="none" w:sz="0" w:space="0" w:color="auto"/>
                <w:bottom w:val="none" w:sz="0" w:space="0" w:color="auto"/>
                <w:right w:val="none" w:sz="0" w:space="0" w:color="auto"/>
              </w:divBdr>
              <w:divsChild>
                <w:div w:id="1613978363">
                  <w:marLeft w:val="0"/>
                  <w:marRight w:val="0"/>
                  <w:marTop w:val="0"/>
                  <w:marBottom w:val="0"/>
                  <w:divBdr>
                    <w:top w:val="none" w:sz="0" w:space="0" w:color="auto"/>
                    <w:left w:val="none" w:sz="0" w:space="0" w:color="auto"/>
                    <w:bottom w:val="none" w:sz="0" w:space="0" w:color="auto"/>
                    <w:right w:val="none" w:sz="0" w:space="0" w:color="auto"/>
                  </w:divBdr>
                  <w:divsChild>
                    <w:div w:id="161751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4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iuc.edu/circe/Robert_Stake.html" TargetMode="External"/><Relationship Id="rId3" Type="http://schemas.openxmlformats.org/officeDocument/2006/relationships/settings" Target="settings.xml"/><Relationship Id="rId7" Type="http://schemas.openxmlformats.org/officeDocument/2006/relationships/hyperlink" Target="http://en.wikipedia.org/wiki/Peer_grou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Formative_assessment" TargetMode="External"/><Relationship Id="rId11" Type="http://schemas.openxmlformats.org/officeDocument/2006/relationships/theme" Target="theme/theme1.xml"/><Relationship Id="rId5" Type="http://schemas.openxmlformats.org/officeDocument/2006/relationships/hyperlink" Target="http://en.wikipedia.org/wiki/Summative_assessmen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n.wikipedia.org/wiki/Assess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494</Words>
  <Characters>2816</Characters>
  <Application>Microsoft Office Word</Application>
  <DocSecurity>0</DocSecurity>
  <Lines>23</Lines>
  <Paragraphs>6</Paragraphs>
  <ScaleCrop>false</ScaleCrop>
  <Company>Hewlett-Packard Company</Company>
  <LinksUpToDate>false</LinksUpToDate>
  <CharactersWithSpaces>3304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2009-11-25T01:13:00Z</dcterms:created>
  <dcterms:modified xsi:type="dcterms:W3CDTF">2009-11-25T01:23:00Z</dcterms:modified>
</cp:coreProperties>
</file>